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克州疾控中心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对影响人群生存环境卫生质量及生命质量的危险因素进行食品、职业、环境、放射、学校卫生等卫生检测；对传染病、地方病、寄生虫病、慢性非传染病、职业病、公害病、学生常见病及意外伤害、中毒等发生、分布和发展的规律进行流行病学检测，并制定预防控制对策。</w:t>
      </w:r>
      <w:r>
        <w:rPr>
          <w:rFonts w:hint="eastAsia" w:ascii="仿宋_GB2312" w:hAnsi="宋体" w:eastAsia="仿宋_GB2312"/>
          <w:b w:val="0"/>
          <w:bCs/>
          <w:sz w:val="32"/>
          <w:szCs w:val="32"/>
        </w:rPr>
        <w:cr/>
      </w:r>
      <w:r>
        <w:rPr>
          <w:rFonts w:hint="eastAsia" w:ascii="仿宋_GB2312" w:hAnsi="宋体" w:eastAsia="仿宋_GB2312"/>
          <w:b w:val="0"/>
          <w:bCs/>
          <w:sz w:val="32"/>
          <w:szCs w:val="32"/>
        </w:rPr>
        <w:t>　　为拟定与疾病预防控制对策和公共卫生相关的法律、法规、规章、政策、标准、规划等提供科学依据，为卫生行政部门提供决策评估。</w:t>
      </w:r>
      <w:r>
        <w:rPr>
          <w:rFonts w:hint="eastAsia" w:ascii="仿宋_GB2312" w:hAnsi="宋体" w:eastAsia="仿宋_GB2312"/>
          <w:b w:val="0"/>
          <w:bCs/>
          <w:sz w:val="32"/>
          <w:szCs w:val="32"/>
        </w:rPr>
        <w:cr/>
      </w:r>
      <w:r>
        <w:rPr>
          <w:rFonts w:hint="eastAsia" w:ascii="仿宋_GB2312" w:hAnsi="宋体" w:eastAsia="仿宋_GB2312"/>
          <w:b w:val="0"/>
          <w:bCs/>
          <w:sz w:val="32"/>
          <w:szCs w:val="32"/>
        </w:rPr>
        <w:t>　　拟定并实施疾病预防与控制工作方案，对方案实施进行质量和效果评估。</w:t>
      </w:r>
      <w:r>
        <w:rPr>
          <w:rFonts w:hint="eastAsia" w:ascii="仿宋_GB2312" w:hAnsi="宋体" w:eastAsia="仿宋_GB2312"/>
          <w:b w:val="0"/>
          <w:bCs/>
          <w:sz w:val="32"/>
          <w:szCs w:val="32"/>
        </w:rPr>
        <w:cr/>
      </w:r>
      <w:r>
        <w:rPr>
          <w:rFonts w:hint="eastAsia" w:ascii="仿宋_GB2312" w:hAnsi="宋体" w:eastAsia="仿宋_GB2312"/>
          <w:b w:val="0"/>
          <w:bCs/>
          <w:sz w:val="32"/>
          <w:szCs w:val="32"/>
        </w:rPr>
        <w:t>　　对传染病爆发流行和中毒、污染事件进行调查处理，为救灾防病和解决重大公共卫生问题提供技术支出。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对我州范围内存在的以下地方病进行调查、研究、预防和治疗，鼠疫、碘缺乏病、氟中毒、黑热病、包虫病、布病。</w:t>
      </w:r>
      <w:r>
        <w:rPr>
          <w:rFonts w:hint="eastAsia" w:ascii="仿宋_GB2312" w:hAnsi="宋体" w:eastAsia="仿宋_GB2312"/>
          <w:b w:val="0"/>
          <w:bCs/>
          <w:sz w:val="32"/>
          <w:szCs w:val="32"/>
        </w:rPr>
        <w:cr/>
      </w:r>
      <w:r>
        <w:rPr>
          <w:rFonts w:hint="eastAsia" w:ascii="仿宋_GB2312" w:hAnsi="宋体" w:eastAsia="仿宋_GB2312"/>
          <w:b w:val="0"/>
          <w:bCs/>
          <w:sz w:val="32"/>
          <w:szCs w:val="32"/>
        </w:rPr>
        <w:t>　　实施预防接种，负责预防用生物制品的使用与管理。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负责人员培训，指导技术规范和技术措施的实施，承担对爱国卫生运动中与疾病预防与控制有关的技术指导。</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开展健康教育与健康促进，参与社区卫生服务工作，促进社会健康环境的建立和人群健康行为的形成。</w:t>
      </w:r>
      <w:r>
        <w:rPr>
          <w:rFonts w:hint="eastAsia" w:ascii="仿宋_GB2312" w:hAnsi="宋体" w:eastAsia="仿宋_GB2312"/>
          <w:b w:val="0"/>
          <w:bCs/>
          <w:sz w:val="32"/>
          <w:szCs w:val="32"/>
        </w:rPr>
        <w:cr/>
      </w:r>
      <w:r>
        <w:rPr>
          <w:rFonts w:hint="eastAsia" w:ascii="仿宋_GB2312" w:hAnsi="宋体" w:eastAsia="仿宋_GB2312"/>
          <w:b w:val="0"/>
          <w:bCs/>
          <w:sz w:val="32"/>
          <w:szCs w:val="32"/>
        </w:rPr>
        <w:t>　　承担疾病预防与控制及有关公共卫生信息的报告、管理和预测、预报，为疾病预防与控制决策提供科学依据。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疾病预防控制中心无下属预算单位，内设9个科室：办公室、防疫计划免疫科、结核病防治科、性病艾滋病科、卫生科、检验科、信息与健康教育科、综合科、鼠防科。克州疾病预防控制中心系正县级全额拨款事业单位，?核定事业编制89名（管理12名，专业技术人员72名，工勤人员5名），单位实有人数152人，其中：在职100人，退休56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1.监测禽流感、SARS等疾病流行情况及传播风险。 2.实时监测流感活动水平和流行趋势。 3.监测手足口疾病流行水平和流行趋势。4.开展人间布鲁氏菌病防治监测项目，提高及时发现率和治愈率。5.监测了解全区饮用水卫生基本状况。6.公共场所监测掌握重点公共场所主要健康危害因素，评价健康风险。7.通过空气污染监测掌握污染物及有毒有害成分对人群健康产生的影响及变化趋势。8.通过农村环境卫生监测掌握新疆农村环境卫生健康危害因素水平及动态变化。9.开展人体生物监测收集环境化学物质人体暴露负荷的数据信息。10.开展地方病监测评价与三年攻坚行动年度评估工作掌握病区防治措施落实进度及病情变化趋势。11.做好发热病人血检、输入性病例监测及治疗管理和疫点处置等，确保疟疾防治项目工作顺利完成。12.完成其他寄生虫病监测工作掌握各监测县人群感染情况，制订防治对策和评价防治效果提供科学依据。13.加强麻风病新病例发现、强化诊断、治疗及管理。14.利用伤害监测系统了解我区伤害发生情况、伤害流行特征。15.开展辖区内学生常见病和健康影响因素监测，掌握学生视力不良、肥胖等主要常见病的发病率。</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疾控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（2）收支管理：领导层是本单位收支业务管理的决策部门，负责审批单位收支业务等事项。涉及“三重一大”事项，根据《疾控中心集体决策制度》和《疾控中心项目管理办法》办理。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疾控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疾控中心合同管理办法》相关规定，疾控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3,238.02 万元，项目支出安排资金1,236.76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本单位2021年度项目支出1236.76万元，涉及项目数量13个，其中：重点项目支出350万元，涉及重点项目数量2个，重点项目支出与部门项目总支出（除去73类资金746.85万元）的比率为71.44%。</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2021年度本单位年初批复部门预算资金总额为2103.88万元，年中调增预算总额为2399.04万元，调整后全年预算资金总额为4502.97万元。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2021年度本单位部门整体支出资金总额为4474.78万元，预算执行率为99.37%，预算调整率为114.03%。</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年初政府采购预算数为490.45万元，实际政府采购数为561.59万元，政府采购执行率为114.51%。</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为加强我单位预算管理、规范财务行为我单位制定了《克州疾控中心内部控制规范》《克州疾控中心项目管理规范》等资金管理制度，已建立制度均健全且有效运行。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2021年度我单位基本支出预算总额为3,266.21万元，其中人员经费1,781.52 万元，公用经费1484.69万元。实际执行总额为3,238.02 万元，预算执行率99.14%。</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0.70万元，比上年减少0.15万元，减少17.45%，主要原因是：按照厉行节约的要求，2021年缩减公务车运行维护费，因此支出随之减少。其中，因公出国（境）费支出0万元；公务用车购置及运行维护费支出0.70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与年初预算数相比情况：一般公共预算“三公”经费支出年初预算数1.5万元，预算执行数为0.70万元，执行率为46.67%，主要原因是：按照厉行节约的要求，2021年缩减公务车运行维护费，因此支出随之减少。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2021年度本单位项目支出预算总额为2714.51万元，实际执行资金总额为1236.76万元，预算执行率为45.56%。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2021年度预算安排专项资金2430.91 万元，实际支出资金953.16 万元，预算执行率为39.21%，涉及项目个数9个。专项经费按照政策要求实行专款专用，不存在截留、挤占、挪用、虚列支出。各项目详细执行情况如下：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2021年重大传染病防控经费项目:全年预算数为47.8万元，预算执行数为47.8万元，预算执行率为100%。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第一书记工作经费为民办实事工作经费项目:全年预算数为26万元，预算执行数为26万元，预算执行率为100%。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2020年中央及自治区基本公共卫生服务补助资金项目:全年预算数为12.8万元，预算执行数为12.8万元，预算执行率为100%。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升级改造建设项目:全年预算数为2000万元，预算执行数为648.81万元，预算执行率为32.44%。</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2021年重大传染病防控补助资金项目:全年预算数为164万元，预算执行数为37.44万元，预算执行率为22.83%。</w:t>
      </w:r>
      <w:r>
        <w:rPr>
          <w:rFonts w:hint="eastAsia" w:ascii="仿宋_GB2312" w:hAnsi="宋体" w:eastAsia="仿宋_GB2312"/>
          <w:b w:val="0"/>
          <w:bCs/>
          <w:sz w:val="32"/>
          <w:szCs w:val="32"/>
        </w:rPr>
        <w:cr/>
      </w:r>
      <w:r>
        <w:rPr>
          <w:rFonts w:hint="eastAsia" w:ascii="仿宋_GB2312" w:hAnsi="宋体" w:eastAsia="仿宋_GB2312"/>
          <w:b w:val="0"/>
          <w:bCs/>
          <w:sz w:val="32"/>
          <w:szCs w:val="32"/>
        </w:rPr>
        <w:t>　　访惠聚生活补助项目:全年预算数为5.51万元，预算执行数为5.51万元，预算执行率为100%。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2021年中央基本公共卫生服务补助资金（第二批）项目:全年预算数为18万元，预算执行数为18万元，预算执行率为100%。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就业补助见习生工资项目:全年预算数为41.40万元，预算执行数为41.40万元，预算执行率为100%。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2021年中央基本公共卫生服务补助项目项目:全年预算数为115.40万元，预算执行数为115.40万元，预算执行率为100%。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2021年度预算安排本级财力资金283.60万元，实际支出资金283.60万元，预算执行率为100%，涉及项目个数4个，各项目详细执行情况如下：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重大公共卫生项目项目:全年预算数为4万元，预算执行数为4万元，预算执行率为100%。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消杀人员及PCR实验室运行经费项目:全年预算数为30万元，预算执行数为30万元，预算执行率为100%。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消杀所聘用人员工资补助项目:全年预算数为234.60万元，预算执行数为234.60万元，预算执行率为100%。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39.21%。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2021年重大传染病防控经费项目:依据《关于拨付2021年中央重大传染病防控经费的通知》（克财社[2021]9号）文件。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2020年中央及自治区基本公共卫生服务补助资金项目:全年预算数为12.8万元，预算执行数为12.8万元，预算执行率为100%。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升级改造建设项目:《关于下达2021年卫生健康领域第一批中央基建投资预算（拨款）的通知》（克财建[2021]48号）。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2021年重大传染病防控补助资金项目：《关于拨付2021年中央重大传染病防控补助资金（第二批）的通知》（克财社[2021]48号）。</w:t>
      </w:r>
      <w:r>
        <w:rPr>
          <w:rFonts w:hint="eastAsia" w:ascii="仿宋_GB2312" w:hAnsi="宋体" w:eastAsia="仿宋_GB2312"/>
          <w:b w:val="0"/>
          <w:bCs/>
          <w:sz w:val="32"/>
          <w:szCs w:val="32"/>
        </w:rPr>
        <w:cr/>
      </w:r>
      <w:r>
        <w:rPr>
          <w:rFonts w:hint="eastAsia" w:ascii="仿宋_GB2312" w:hAnsi="宋体" w:eastAsia="仿宋_GB2312"/>
          <w:b w:val="0"/>
          <w:bCs/>
          <w:sz w:val="32"/>
          <w:szCs w:val="32"/>
        </w:rPr>
        <w:t>　　访惠聚生活补助项目:《关于提前下达2021年自治区基本公共卫生服务补助资金预算的通知》（新财社[2020]306号）。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2021年中央基本公共卫生服务补助资金（第二批）项目:《关于拨付2021年中央基本公共卫生服务补助资金（第二批）的通知》（新材社[2021]年91号）</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就业补助见习生工资项目:根据自治区党委常委会议纪要（第十届[2020]39号）精神，州疾控中心面向社会招聘大中专毕业生。</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2021年中央基本公共卫生服务补助项目项目:《关于拨付2021年中央基本公共卫生服务补助资金（第二批）的通知》（克财社[2021]30号）。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9项专项，总投入共计2,430.911万元，资金全部到位，实际使用资金953.16万元，专项资金执行率为39.21%。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①制订《克州疾控中心经费使用规范》,为合理合规使用经费提供了有力的制度保障。同时,建立区委组织部项目经费内部管控制度，并严格按要求落实。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成本节约：我单位9个项目成本均未超预算，预算执行率达39.21%。</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重大传染病防控经费项目:主要用于根据自治区下达的工作任务，完成各项工作，强化疫情监测，重抓重点传染病防治，防控监测、做好信息化建设运行维护工作。。有利于缩小城乡居民公共卫生服务差距，提高居民健康水平。全年预算数为47.8万元，预算执行数为47.8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主要用于开展聚焦社会稳定总目标，狠抓基础性群众工作，营造安定和谐稳定的社会局面，着力解决农民反映的热、难点问题，开展各项文体活动，职业技能培训、节日慰问等，落实党的惠民政策，了解群众困示难，为农牧民办好事实事，解决农牧民生产生活困难。有利于增强群众的幸福感和获得感。全年预算数为26万元，预算执行数为26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项目:主要用于免费向城乡居民提供基本为省公共服务。婴儿死亡率，孕产妇死亡率持续下降。到2022年高血压，2型糖尿病患者规范管理率达到60%及以上；适龄儿童免疫规划疫苗接种率保持在90%以上。有利于基本公共卫生服务水平，减少城乡居民公共卫生服务差距。全年预算数为12.8万元，预算执行数为12.8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升级改造建设项目:全年预算数为2000万元，主要用于开展的卫生健康领域重大工程，支持新疆医疗卫生项目建设，全面改善医疗卫生机构薄弱环节基础设施条件，提升基层医疗卫生机构服务能力，加快优质医疗资源扩容和区域均衡布局，有利于构建强大的公共卫生体系，为人民群众健康提供重要保障。预算执行数为648.81万元，预算执行率为32.44%。</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重大传染病防控补助资金项目:主要用于1、以乡镇为单位适龄儿童免疫规划疫苗接种有效率达标，继续保持无脊髓灰质炎状态，进一步控制和降低全区疫苗针对传染总体目标病的发病。2、开展人群差查病及犬驱虫管理等，努力做好包虫病防治工作。3、围绕艾滋病防治综合措施的实施与关键指标的落实，扩大 HIV 监测，保持疫情稳定。4、开展重大慢性病早起筛查干预项目，落实慢性病及其相关危险因素监测。5、提升结核病防治工作质量，聚焦精准诊斯、精准报告、全程规范质量、提高治愈率。6、完成以新冠肺炎为主的病毒性传染病监测，基于国家并举识别网的细菌性传染病监测，重点区域病媒生物监测。有利于降低传染性疾病病发病率，公共卫生均等化水平提高。全年预算数为164万元，预算执行数为37.44万元，预算执行率为22.83%。</w:t>
      </w:r>
      <w:r>
        <w:rPr>
          <w:rFonts w:hint="eastAsia" w:ascii="仿宋_GB2312" w:hAnsi="宋体" w:eastAsia="仿宋_GB2312"/>
          <w:b w:val="0"/>
          <w:bCs/>
          <w:sz w:val="32"/>
          <w:szCs w:val="32"/>
        </w:rPr>
        <w:cr/>
      </w:r>
      <w:r>
        <w:rPr>
          <w:rFonts w:hint="eastAsia" w:ascii="仿宋_GB2312" w:hAnsi="宋体" w:eastAsia="仿宋_GB2312"/>
          <w:b w:val="0"/>
          <w:bCs/>
          <w:sz w:val="32"/>
          <w:szCs w:val="32"/>
        </w:rPr>
        <w:t>　　访惠聚生活补助项目:主要用于聚焦社会稳定总目标，狠抓基础性群众工作，营造安定和谐稳定的社会局面，着力解决农民反映的热、难点问题，开展各项文体活动，职业技能培训、节日慰问等，落实党的惠民政策，了解群众困示难，为农牧民办好事实事，解决农牧民生产生活困难。有利于增强了农牧民的幸福和获得感。全年预算数为5.51万元，预算执行数为5.51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资金（第二批）项目:主要用于完成重点职业病监测，工作场所职业病危害因素监测，医疗卫生机构医用辐射防护监测、职业病放射性疾病监测与职业健康风险评估、非医疗机构放射性危害因素监测工作及相关专项调查、职业病防治工作能力提升等工作。有利于降低传染性疾病病发病率，公共卫生均等化水平提高。全年预算数为18万元，预算执行数为18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就业补助见习生工资项目:全年预算数为41.40万元，有利于面向社会招聘大中专毕业生从事全州环境消杀工作，妥善处理相关突发事件，应对突发公共卫生事件，维护社会和谐稳定、保障人民群众身体健康和生命安全，更好的服务社会。其中符合人力资源社会保障局见习生资格，按每人每月1081元测算。有利于妥善处置相关突发事件，维护社会和谐稳定，提高大中专毕业生就业。预算执行数为41.40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项目:有利于免费向城乡居民提供基本公共卫生服务。高血压和2型糖尿病规范管理率达到60%以上。适龄儿童免疫规划疫苗接种率保持在90%以上。有利于提升基本公共卫生服务水平,缩小城乡居民公共卫生差距。全年预算数为115.40万元，预算执行数为115.40万元，预算执行率为100%。</w:t>
      </w:r>
      <w:r>
        <w:rPr>
          <w:rFonts w:hint="eastAsia" w:ascii="仿宋_GB2312" w:hAnsi="宋体" w:eastAsia="仿宋_GB2312"/>
          <w:b w:val="0"/>
          <w:bCs/>
          <w:sz w:val="32"/>
          <w:szCs w:val="32"/>
        </w:rPr>
        <w:tab/>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本单位2021年初资产合计数为2573.55万元，年末资产合计数为4200.33万元。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截止本年度固定资产账面净值4134.77万元，年末实际在用固定资产4134.77万元，固定资产利用率为100%。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部门单位整体支出共设置一级指标3个，二级指标7个，三级指标18个，其中已完成三级指标18个，指标完成率为100%。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“肺结核患者规范管理率达到”指标：预期指标值为&gt;=90%，实际完成指标值为90%，指标完成率为100%。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“扎实做好新冠肺炎的疫苗接种培训工作”指标：预期指标值为&gt;=95%，实际完成指标值为95%，指标完成率为100%。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“艾滋病感染者治疗比例和效果达到率”指标：预期指标值为&gt;=90%，实际完成指标值为90%，指标完成率为100%。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“常规免疫疫苗的接种率”指标：预期指标值为&gt;=95%，实际完成指标值为95%，指标完成率为100%。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“常规免疫疫苗的接种率”指标：预期指标值为&gt;=95%，实际完成指标值为95%，指标完成率为100%。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“精神卫生、慢性病、职业病和其他公共县市培训覆盖率”指标：预期指标值为&gt;=98%，实际完成指标值为98%，指标完成率为100%。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“地方病防治碘盐覆盖率”指标：预期指标值为=100%，实际完成指标值为100%，指标完成率为100%。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“完成全州环境消杀 ”指标：预期指标值为=90万次，实际完成指标值为90万次，指标完成率为100%。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“为群众办实事 ”指标：预期指标值为&gt;=10件，实际完成指标值为10件，指标完成率为100%。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“人员经费”指标：预期指标值为=1326.53万元*，实际完成指标值为1326.53，指标完成率为100%。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“上年结余”指标：预期指标值为=95万元，实际完成指标值为95万元，指标完成率为100%。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“项目支出”指标：预期指标值为=283.60万元，实际完成指标值为283.6万元，指标完成率为100%。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“日常公用经费”指标：预期指标值为=52.65万元，实际完成指标值为52.65，指标完成率为100%。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“上级专项项目支出”指标：预期指标值为=346.10万元，实际完成指标值为346.1，指标完成率为100%。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“提高群众对传染病的自我保护意识”指标：预期指标值为有效提高，实际完成指标值为有效提高，指标完成率为100%。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“降低传染性疾病病发率”指标：预期指标值为有效降低，实际完成指标值为有效降低，指标完成率为100%。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6776BCD"/>
    <w:rsid w:val="200F4073"/>
    <w:rsid w:val="24B86128"/>
    <w:rsid w:val="51C70EA9"/>
    <w:rsid w:val="54F842B6"/>
    <w:rsid w:val="656071F2"/>
    <w:rsid w:val="6BF1756B"/>
    <w:rsid w:val="6F5E1AA3"/>
    <w:rsid w:val="7086053D"/>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2022-05-23T15:16:18Z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